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70" w:rsidRDefault="0065777A">
      <w:pPr>
        <w:spacing w:after="137" w:line="276" w:lineRule="auto"/>
        <w:ind w:left="2450" w:hanging="2117"/>
      </w:pPr>
      <w:r>
        <w:rPr>
          <w:b/>
          <w:sz w:val="28"/>
        </w:rPr>
        <w:t xml:space="preserve">The Newcastle-upon-Tyne NHS Foundation Trust Fast Track Pathway for Suspected Giant Cell Arteritis (GCA) </w:t>
      </w:r>
    </w:p>
    <w:p w:rsidR="00A27170" w:rsidRDefault="0065777A">
      <w:pPr>
        <w:spacing w:after="18"/>
        <w:ind w:left="2"/>
      </w:pPr>
      <w:r>
        <w:rPr>
          <w:b/>
        </w:rPr>
        <w:t xml:space="preserve"> </w:t>
      </w:r>
    </w:p>
    <w:p w:rsidR="00A27170" w:rsidRDefault="0065777A">
      <w:pPr>
        <w:spacing w:after="199" w:line="276" w:lineRule="auto"/>
        <w:ind w:left="-3" w:right="84" w:hanging="10"/>
      </w:pPr>
      <w:r>
        <w:t>There is no single test or validated scoring system which effectively confirms or excludes a diagnosis of GCA. If you are unsure whether to refer we would be happy to discuss the patient. Please follow the flow diagram and consult the notes below where nec</w:t>
      </w:r>
      <w:r>
        <w:t xml:space="preserve">essary. Referrals to Rheumatology must be discussed with the on-call registrar using the direct dial number. </w:t>
      </w:r>
    </w:p>
    <w:p w:rsidR="00A27170" w:rsidRDefault="0065777A">
      <w:pPr>
        <w:spacing w:after="170"/>
        <w:ind w:left="2"/>
      </w:pPr>
      <w:r>
        <w:rPr>
          <w:b/>
        </w:rPr>
        <w:t xml:space="preserve"> </w:t>
      </w:r>
    </w:p>
    <w:p w:rsidR="00A27170" w:rsidRDefault="0065777A">
      <w:pPr>
        <w:spacing w:after="167"/>
        <w:ind w:left="-2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820156" cy="5536692"/>
                <wp:effectExtent l="0" t="0" r="0" b="0"/>
                <wp:docPr id="2816" name="Group 2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156" cy="5536692"/>
                          <a:chOff x="0" y="0"/>
                          <a:chExt cx="5820156" cy="5536692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0156" cy="5536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775815" y="1618249"/>
                            <a:ext cx="184721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170" w:rsidRDefault="0065777A">
                              <w:r>
                                <w:rPr>
                                  <w:sz w:val="44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14424" y="1618249"/>
                            <a:ext cx="83829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170" w:rsidRDefault="0065777A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6" style="width:458.28pt;height:435.96pt;mso-position-horizontal-relative:char;mso-position-vertical-relative:line" coordsize="58201,55366">
                <v:shape id="Picture 52" style="position:absolute;width:58201;height:55366;left:0;top:0;" filled="f">
                  <v:imagedata r:id="rId6"/>
                </v:shape>
                <v:rect id="Rectangle 53" style="position:absolute;width:1847;height:3709;left:7758;top:16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4"/>
                          </w:rPr>
                          <w:t xml:space="preserve">*</w:t>
                        </w:r>
                      </w:p>
                    </w:txbxContent>
                  </v:textbox>
                </v:rect>
                <v:rect id="Rectangle 54" style="position:absolute;width:838;height:3709;left:9144;top:16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</w:rPr>
        <w:t xml:space="preserve"> </w:t>
      </w:r>
    </w:p>
    <w:p w:rsidR="00C039B1" w:rsidRDefault="0065777A" w:rsidP="0065777A">
      <w:pPr>
        <w:spacing w:after="399"/>
        <w:ind w:left="2"/>
      </w:pPr>
      <w:r>
        <w:rPr>
          <w:sz w:val="44"/>
        </w:rPr>
        <w:t xml:space="preserve"> </w:t>
      </w:r>
      <w:r>
        <w:rPr>
          <w:sz w:val="44"/>
        </w:rPr>
        <w:t>*</w:t>
      </w:r>
      <w:r>
        <w:t xml:space="preserve"> Rheumatology registrar on-call 0900-1900 Mon-Fri, 0900-1300 Sat-Sun.</w:t>
      </w:r>
      <w:r w:rsidR="00C039B1">
        <w:t xml:space="preserve"> A Rheumatology Consultant is on-call outside these hours and can be contacted via the hospital switchboard. </w:t>
      </w:r>
    </w:p>
    <w:p w:rsidR="00A27170" w:rsidRDefault="0065777A">
      <w:pPr>
        <w:spacing w:after="121" w:line="343" w:lineRule="auto"/>
        <w:ind w:left="-3" w:right="84" w:hanging="10"/>
      </w:pPr>
      <w:r>
        <w:t xml:space="preserve">If you see a patient with suspected GCA </w:t>
      </w:r>
      <w:r w:rsidR="00C039B1">
        <w:t>and cannot call us</w:t>
      </w:r>
      <w:r>
        <w:t xml:space="preserve"> we would suggest starting steroids and contacting the on-call at the next opportunity. </w:t>
      </w:r>
    </w:p>
    <w:p w:rsidR="00A27170" w:rsidRDefault="0065777A">
      <w:pPr>
        <w:spacing w:after="21"/>
        <w:ind w:left="2"/>
      </w:pPr>
      <w:r>
        <w:rPr>
          <w:b/>
        </w:rPr>
        <w:t xml:space="preserve"> </w:t>
      </w:r>
    </w:p>
    <w:p w:rsidR="00C039B1" w:rsidRDefault="0065777A" w:rsidP="00C039B1">
      <w:pPr>
        <w:spacing w:after="738"/>
        <w:ind w:left="2"/>
      </w:pPr>
      <w:r>
        <w:t xml:space="preserve"> </w:t>
      </w:r>
    </w:p>
    <w:tbl>
      <w:tblPr>
        <w:tblStyle w:val="TableGrid"/>
        <w:tblpPr w:leftFromText="180" w:rightFromText="180" w:vertAnchor="text" w:horzAnchor="margin" w:tblpY="725"/>
        <w:tblW w:w="9241" w:type="dxa"/>
        <w:tblInd w:w="0" w:type="dxa"/>
        <w:tblCellMar>
          <w:top w:w="44" w:type="dxa"/>
          <w:left w:w="107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949"/>
        <w:gridCol w:w="7292"/>
      </w:tblGrid>
      <w:tr w:rsidR="00C039B1" w:rsidTr="00C039B1">
        <w:trPr>
          <w:trHeight w:val="27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lastRenderedPageBreak/>
              <w:t xml:space="preserve">Age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/>
            </w:pPr>
            <w:r>
              <w:t xml:space="preserve">GCA ‘does not occur’ under the age of 50 and is rare under 60 years </w:t>
            </w:r>
          </w:p>
        </w:tc>
      </w:tr>
      <w:tr w:rsidR="00C039B1" w:rsidTr="00C039B1">
        <w:trPr>
          <w:trHeight w:val="108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Visual symptoms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/>
            </w:pPr>
            <w:r>
              <w:t xml:space="preserve">Sudden, temporary loss of vision, double vision, temporary ‘blurring’. </w:t>
            </w:r>
          </w:p>
          <w:p w:rsidR="00C039B1" w:rsidRDefault="00C039B1" w:rsidP="00C039B1">
            <w:pPr>
              <w:spacing w:after="0"/>
              <w:ind w:left="2"/>
            </w:pPr>
            <w:r>
              <w:t xml:space="preserve">Not a gradual deterioration in sight </w:t>
            </w:r>
          </w:p>
          <w:p w:rsidR="00C039B1" w:rsidRDefault="00C039B1" w:rsidP="00C039B1">
            <w:pPr>
              <w:spacing w:after="0"/>
              <w:ind w:left="2"/>
            </w:pPr>
            <w:r>
              <w:t xml:space="preserve">Ask specifically about visual symptoms and </w:t>
            </w:r>
            <w:r w:rsidRPr="00C039B1">
              <w:rPr>
                <w:b/>
              </w:rPr>
              <w:t>direct referral to ophthalmology</w:t>
            </w:r>
            <w:r>
              <w:t xml:space="preserve"> if present (see below) </w:t>
            </w:r>
          </w:p>
        </w:tc>
      </w:tr>
      <w:tr w:rsidR="00C039B1" w:rsidTr="00C039B1">
        <w:trPr>
          <w:trHeight w:val="81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Jaw claudication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/>
            </w:pPr>
            <w:r>
              <w:t xml:space="preserve">This is a specific symptom for GCA.  </w:t>
            </w:r>
          </w:p>
          <w:p w:rsidR="00C039B1" w:rsidRDefault="00C039B1" w:rsidP="00C039B1">
            <w:pPr>
              <w:spacing w:after="0"/>
              <w:ind w:left="2"/>
            </w:pPr>
            <w:r>
              <w:t xml:space="preserve">Do they get pain in their jaw on chewing – a muscular ache which resolves when they stop chewing? </w:t>
            </w:r>
          </w:p>
        </w:tc>
      </w:tr>
      <w:tr w:rsidR="00C039B1" w:rsidTr="00C039B1">
        <w:trPr>
          <w:trHeight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PMR symptoms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/>
            </w:pPr>
            <w:r>
              <w:t xml:space="preserve">Previous diagnosis of polymyalgia rheumatica or new onset of symptoms </w:t>
            </w:r>
          </w:p>
        </w:tc>
      </w:tr>
      <w:tr w:rsidR="00C039B1" w:rsidTr="00C039B1">
        <w:trPr>
          <w:trHeight w:val="54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New onset headache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/>
            </w:pPr>
            <w:r>
              <w:t xml:space="preserve">Headache is classically temporal but can be more generalised, occipital or at the vertex </w:t>
            </w:r>
          </w:p>
        </w:tc>
      </w:tr>
      <w:tr w:rsidR="00C039B1" w:rsidTr="00C039B1">
        <w:trPr>
          <w:trHeight w:val="54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Fatigue / low grade fever / weight loss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/>
            </w:pPr>
            <w:r>
              <w:t xml:space="preserve">Common features of GCA. Occasionally these are the only signs of GCA and we would investigate if CRP / ESR raised and no other cause apparent  </w:t>
            </w:r>
          </w:p>
        </w:tc>
      </w:tr>
      <w:tr w:rsidR="00C039B1" w:rsidTr="00C039B1">
        <w:trPr>
          <w:trHeight w:val="27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Scalp tenderness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/>
            </w:pPr>
            <w:r>
              <w:t xml:space="preserve">Classically pain on combing hair </w:t>
            </w:r>
          </w:p>
        </w:tc>
      </w:tr>
      <w:tr w:rsidR="00C039B1" w:rsidTr="00C039B1">
        <w:trPr>
          <w:trHeight w:val="54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Other symptoms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 w:right="300"/>
            </w:pPr>
            <w:r>
              <w:t xml:space="preserve">Include other neurological features such as TIA / stroke / neuropathy Mouth / tongue pain or ulceration, deafness </w:t>
            </w:r>
          </w:p>
        </w:tc>
      </w:tr>
      <w:tr w:rsidR="00C039B1" w:rsidTr="00C039B1">
        <w:trPr>
          <w:trHeight w:val="54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  <w:ind w:right="19"/>
            </w:pPr>
            <w:r>
              <w:t xml:space="preserve">Abnormal temporal artery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/>
              <w:ind w:left="2" w:right="209"/>
            </w:pPr>
            <w:r>
              <w:t xml:space="preserve">Some patients have thickened, less compressible temporal arteries. Pulsation may be reduced or absent </w:t>
            </w:r>
          </w:p>
        </w:tc>
      </w:tr>
      <w:tr w:rsidR="00C039B1" w:rsidTr="00C039B1">
        <w:trPr>
          <w:trHeight w:val="135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C039B1" w:rsidRDefault="00C039B1" w:rsidP="00C039B1">
            <w:pPr>
              <w:spacing w:after="0"/>
            </w:pPr>
            <w:r>
              <w:t xml:space="preserve">ESR /CRP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B1" w:rsidRDefault="00C039B1" w:rsidP="00C039B1">
            <w:pPr>
              <w:spacing w:after="0" w:line="239" w:lineRule="auto"/>
              <w:ind w:left="2"/>
            </w:pPr>
            <w:r>
              <w:t xml:space="preserve">Do not wait for these results if you have a high index of suspicion for GCA from the clinical picture. </w:t>
            </w:r>
          </w:p>
          <w:p w:rsidR="00C039B1" w:rsidRDefault="00C039B1" w:rsidP="00C039B1">
            <w:pPr>
              <w:spacing w:after="0"/>
              <w:ind w:left="2"/>
            </w:pPr>
            <w:r>
              <w:t xml:space="preserve">Please check both tests because ESR is less specific in the elderly. </w:t>
            </w:r>
          </w:p>
          <w:p w:rsidR="00C039B1" w:rsidRDefault="00C039B1" w:rsidP="00C039B1">
            <w:pPr>
              <w:spacing w:after="0"/>
              <w:ind w:left="2"/>
            </w:pPr>
            <w:r>
              <w:t xml:space="preserve">GCA would normally be discounted in patients with CRP &lt;5, assuming they have not had steroids </w:t>
            </w:r>
          </w:p>
        </w:tc>
      </w:tr>
    </w:tbl>
    <w:p w:rsidR="00A27170" w:rsidRDefault="0065777A" w:rsidP="00C039B1">
      <w:pPr>
        <w:spacing w:after="738"/>
        <w:ind w:left="2"/>
      </w:pPr>
      <w:r>
        <w:rPr>
          <w:b/>
        </w:rPr>
        <w:t xml:space="preserve">Advice for GPs and other Health Professionals – could this patient have GCA? </w:t>
      </w:r>
    </w:p>
    <w:p w:rsidR="00A27170" w:rsidRDefault="0065777A">
      <w:pPr>
        <w:spacing w:after="0"/>
      </w:pPr>
      <w:r>
        <w:rPr>
          <w:b/>
        </w:rPr>
        <w:t xml:space="preserve"> </w:t>
      </w:r>
    </w:p>
    <w:p w:rsidR="00A27170" w:rsidRDefault="0065777A">
      <w:pPr>
        <w:spacing w:after="218"/>
      </w:pPr>
      <w:r>
        <w:t xml:space="preserve"> </w:t>
      </w:r>
    </w:p>
    <w:p w:rsidR="00A27170" w:rsidRDefault="0065777A">
      <w:pPr>
        <w:spacing w:after="0"/>
        <w:ind w:left="-5" w:hanging="10"/>
      </w:pPr>
      <w:r>
        <w:rPr>
          <w:b/>
        </w:rPr>
        <w:t xml:space="preserve">Action to take if GCA suspected: </w:t>
      </w:r>
    </w:p>
    <w:tbl>
      <w:tblPr>
        <w:tblStyle w:val="TableGrid"/>
        <w:tblW w:w="9241" w:type="dxa"/>
        <w:tblInd w:w="-107" w:type="dxa"/>
        <w:tblCellMar>
          <w:top w:w="46" w:type="dxa"/>
          <w:left w:w="107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949"/>
        <w:gridCol w:w="7292"/>
      </w:tblGrid>
      <w:tr w:rsidR="00A27170">
        <w:trPr>
          <w:trHeight w:val="403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A27170" w:rsidRDefault="0065777A">
            <w:pPr>
              <w:spacing w:after="0"/>
            </w:pPr>
            <w:r>
              <w:t xml:space="preserve">Refer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70" w:rsidRDefault="0065777A">
            <w:pPr>
              <w:spacing w:after="1" w:line="238" w:lineRule="auto"/>
              <w:ind w:left="2"/>
            </w:pPr>
            <w:r>
              <w:t>→ Ophthalmology if visual symptoms. Eye casualty is open at RVI 0815-1630 Mon-Fri and 0900-1130 on Saturday. Phone advice from ophthalmology registrar on-call 0191 2829484</w:t>
            </w:r>
            <w:r>
              <w:t xml:space="preserve">. They will refer onto rheumatology if necessary. </w:t>
            </w:r>
          </w:p>
          <w:p w:rsidR="00A27170" w:rsidRDefault="0065777A">
            <w:pPr>
              <w:spacing w:after="0"/>
              <w:ind w:left="2"/>
            </w:pPr>
            <w:r>
              <w:t xml:space="preserve"> </w:t>
            </w:r>
          </w:p>
          <w:p w:rsidR="00A27170" w:rsidRDefault="0065777A">
            <w:pPr>
              <w:spacing w:after="0" w:line="239" w:lineRule="auto"/>
              <w:ind w:left="2" w:right="3"/>
            </w:pPr>
            <w:r>
              <w:t>→ Rheumatology if no visual symptoms. Phone on-call rheumatology registrar at Freeman on 0191 2139964*. If we are going to see them you will be asked to complete an eReferral for ‘Suspected GCA Pathway’,</w:t>
            </w:r>
            <w:r>
              <w:t xml:space="preserve"> but </w:t>
            </w:r>
            <w:r>
              <w:rPr>
                <w:b/>
              </w:rPr>
              <w:t xml:space="preserve">you still need to phone </w:t>
            </w:r>
            <w:r>
              <w:t xml:space="preserve">as the eReferral pathway is not continuously monitored. We will contact patient and arrange to see within 24-48 hours, and arrange investigation (ultrasound, biopsy if necessary) and follow-up if GCA is confirmed. </w:t>
            </w:r>
          </w:p>
          <w:p w:rsidR="00A27170" w:rsidRDefault="0065777A">
            <w:pPr>
              <w:spacing w:after="0"/>
              <w:ind w:left="2"/>
            </w:pPr>
            <w:r>
              <w:t xml:space="preserve"> </w:t>
            </w:r>
          </w:p>
          <w:p w:rsidR="00A27170" w:rsidRDefault="0065777A">
            <w:pPr>
              <w:spacing w:after="0"/>
              <w:ind w:left="2"/>
            </w:pPr>
            <w:r>
              <w:t>Please ref</w:t>
            </w:r>
            <w:r>
              <w:t xml:space="preserve">er via these pathways if you are starting steroids for GCA. </w:t>
            </w:r>
            <w:r w:rsidRPr="00C039B1">
              <w:rPr>
                <w:b/>
              </w:rPr>
              <w:t>Do not refer non-urgently</w:t>
            </w:r>
            <w:r>
              <w:t xml:space="preserve"> because it is difficult to confirm or exclude the diagnosis once patients are established on steroids. </w:t>
            </w:r>
          </w:p>
        </w:tc>
      </w:tr>
      <w:tr w:rsidR="00A27170">
        <w:trPr>
          <w:trHeight w:val="135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A27170" w:rsidRDefault="0065777A">
            <w:pPr>
              <w:spacing w:after="0"/>
            </w:pPr>
            <w:r>
              <w:t xml:space="preserve">Start steroids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70" w:rsidRDefault="0065777A">
            <w:pPr>
              <w:spacing w:after="11"/>
              <w:ind w:left="2"/>
            </w:pPr>
            <w:r>
              <w:t xml:space="preserve">Start prednisolone if you are referring via the </w:t>
            </w:r>
            <w:r>
              <w:t xml:space="preserve">fast track pathway: </w:t>
            </w:r>
          </w:p>
          <w:p w:rsidR="00A27170" w:rsidRDefault="0065777A">
            <w:pPr>
              <w:numPr>
                <w:ilvl w:val="0"/>
                <w:numId w:val="1"/>
              </w:numPr>
              <w:spacing w:after="12"/>
              <w:ind w:right="561" w:firstLine="360"/>
            </w:pPr>
            <w:r>
              <w:t xml:space="preserve">40mg if no visual symptoms </w:t>
            </w:r>
            <w:bookmarkStart w:id="0" w:name="_GoBack"/>
            <w:bookmarkEnd w:id="0"/>
          </w:p>
          <w:p w:rsidR="00C039B1" w:rsidRDefault="0065777A">
            <w:pPr>
              <w:numPr>
                <w:ilvl w:val="0"/>
                <w:numId w:val="1"/>
              </w:numPr>
              <w:spacing w:after="0" w:line="239" w:lineRule="auto"/>
              <w:ind w:right="561" w:firstLine="360"/>
            </w:pPr>
            <w:r>
              <w:t>60mg if visual symptoms and /</w:t>
            </w:r>
            <w:r w:rsidR="00C039B1">
              <w:t xml:space="preserve">or jaw claudication </w:t>
            </w:r>
          </w:p>
          <w:p w:rsidR="00A27170" w:rsidRDefault="00C039B1">
            <w:pPr>
              <w:numPr>
                <w:ilvl w:val="0"/>
                <w:numId w:val="1"/>
              </w:numPr>
              <w:spacing w:after="0" w:line="239" w:lineRule="auto"/>
              <w:ind w:right="561" w:firstLine="360"/>
            </w:pPr>
            <w:r>
              <w:t xml:space="preserve">Consider co </w:t>
            </w:r>
            <w:r w:rsidR="0065777A">
              <w:t xml:space="preserve">prescription of PPI, and aspirin 75mg.  </w:t>
            </w:r>
          </w:p>
          <w:p w:rsidR="00A27170" w:rsidRDefault="0065777A">
            <w:pPr>
              <w:spacing w:after="0"/>
              <w:ind w:left="2"/>
            </w:pPr>
            <w:r>
              <w:t xml:space="preserve">We will start bisphosphonate if GCA confirmed and prednisolone continued. </w:t>
            </w:r>
          </w:p>
        </w:tc>
      </w:tr>
    </w:tbl>
    <w:p w:rsidR="00A27170" w:rsidRDefault="0065777A">
      <w:pPr>
        <w:spacing w:after="218"/>
      </w:pPr>
      <w:r>
        <w:t xml:space="preserve"> </w:t>
      </w:r>
    </w:p>
    <w:p w:rsidR="00A27170" w:rsidRDefault="0065777A" w:rsidP="0065777A">
      <w:pPr>
        <w:spacing w:after="218"/>
        <w:jc w:val="right"/>
      </w:pPr>
      <w:r>
        <w:t xml:space="preserve"> </w:t>
      </w:r>
      <w:r>
        <w:t xml:space="preserve">NUTH GCA pathway: </w:t>
      </w:r>
      <w:r w:rsidR="00C039B1">
        <w:t>Lorenzi/Thompson/Heaney/Rayner/Brown</w:t>
      </w:r>
      <w:r>
        <w:t xml:space="preserve"> </w:t>
      </w:r>
      <w:r w:rsidR="00C039B1">
        <w:t>Jan 2026</w:t>
      </w:r>
      <w:r>
        <w:t xml:space="preserve"> </w:t>
      </w:r>
    </w:p>
    <w:sectPr w:rsidR="00A27170">
      <w:pgSz w:w="11906" w:h="16838"/>
      <w:pgMar w:top="895" w:right="1252" w:bottom="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594"/>
    <w:multiLevelType w:val="hybridMultilevel"/>
    <w:tmpl w:val="079652C6"/>
    <w:lvl w:ilvl="0" w:tplc="D046C1AE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87CF2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728A48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A3DD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8E240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85144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E7EDA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086DC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2251D4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70"/>
    <w:rsid w:val="0065777A"/>
    <w:rsid w:val="00A27170"/>
    <w:rsid w:val="00C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7ADA"/>
  <w15:docId w15:val="{42DAA3C4-7311-40A5-A708-10054BC8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Company>Newcastle Upon Tyne Hospital Trust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Lorenzi, Alice</dc:creator>
  <cp:keywords/>
  <cp:lastModifiedBy>Lorenzi, Alice</cp:lastModifiedBy>
  <cp:revision>4</cp:revision>
  <dcterms:created xsi:type="dcterms:W3CDTF">2025-12-12T09:24:00Z</dcterms:created>
  <dcterms:modified xsi:type="dcterms:W3CDTF">2025-12-12T09:25:00Z</dcterms:modified>
</cp:coreProperties>
</file>